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160" w:line="259" w:lineRule="auto"/>
        <w:jc w:val="center"/>
        <w:rPr>
          <w:rFonts w:ascii="Calibri" w:hAnsi="Calibri" w:eastAsia="Calibri" w:cs="Calibri"/>
          <w:b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1" behindDoc="1" locked="0" layoutInCell="0" hidden="0" allowOverlap="1">
            <wp:simplePos x="0" y="0"/>
            <wp:positionH relativeFrom="column">
              <wp:posOffset>1866900</wp:posOffset>
            </wp:positionH>
            <wp:positionV relativeFrom="paragraph">
              <wp:posOffset>114300</wp:posOffset>
            </wp:positionV>
            <wp:extent cx="414655" cy="414655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>
                      <a:extLst>
                        <a:ext uri="smNativeData">
                          <sm:smNativeData xmlns:sm="smNativeData" val="SMDATA_16_DhbxZR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CCAAAAAAAAAAAAAAAAAAAAIAAAB8CwAAAAAAAAIAAAC0AAAAjQIAAI0CAAAAAAAAHBEAAFQG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b/>
          <w:sz w:val="28"/>
          <w:szCs w:val="28"/>
        </w:rPr>
      </w:r>
    </w:p>
    <w:p>
      <w:pPr>
        <w:spacing w:after="160" w:line="259" w:lineRule="auto"/>
        <w:jc w:val="center"/>
        <w:rPr>
          <w:rFonts w:ascii="Calibri" w:hAnsi="Calibri" w:eastAsia="Calibri" w:cs="Calibri"/>
          <w:b/>
          <w:sz w:val="28"/>
          <w:szCs w:val="28"/>
        </w:rPr>
      </w:pPr>
      <w:r>
        <w:rPr>
          <w:rFonts w:ascii="Calibri" w:hAnsi="Calibri" w:eastAsia="Calibri" w:cs="Calibri"/>
          <w:b/>
          <w:sz w:val="28"/>
          <w:szCs w:val="28"/>
        </w:rPr>
        <w:t>ISFD N° 36</w:t>
      </w:r>
    </w:p>
    <w:p>
      <w:pPr>
        <w:spacing w:after="160" w:line="259" w:lineRule="auto"/>
        <w:jc w:val="center"/>
        <w:rPr>
          <w:rFonts w:ascii="Calibri" w:hAnsi="Calibri" w:eastAsia="Calibri" w:cs="Calibri"/>
          <w:b/>
          <w:sz w:val="28"/>
          <w:szCs w:val="28"/>
        </w:rPr>
      </w:pPr>
      <w:r>
        <w:rPr>
          <w:rFonts w:ascii="Calibri" w:hAnsi="Calibri" w:eastAsia="Calibri" w:cs="Calibri"/>
          <w:b/>
          <w:sz w:val="24"/>
          <w:szCs w:val="24"/>
        </w:rPr>
        <w:t xml:space="preserve">LINEAMIENTOS INSTITUCIONALES PARA EL TALLER INICIAL </w:t>
      </w:r>
      <w:r>
        <w:rPr>
          <w:rFonts w:ascii="Calibri" w:hAnsi="Calibri" w:eastAsia="Calibri" w:cs="Calibri"/>
          <w:b/>
          <w:sz w:val="28"/>
          <w:szCs w:val="28"/>
        </w:rPr>
      </w:r>
    </w:p>
    <w:p>
      <w:pPr>
        <w:spacing w:after="160" w:line="259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 xml:space="preserve">«PROFESORADO DE EDUCACIÓN SECUNDARIA EN BIOLOGÍA» </w:t>
      </w:r>
    </w:p>
    <w:p>
      <w:pPr>
        <w:spacing w:after="160" w:line="259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INGRESANTES 2024 (estudiantes de 1er año)</w:t>
      </w:r>
    </w:p>
    <w:tbl>
      <w:tblPr>
        <w:tblStyle w:val=""/>
        <w:name w:val="Tabla1"/>
        <w:tabOrder w:val="0"/>
        <w:jc w:val="left"/>
        <w:tblInd w:w="0" w:type="dxa"/>
        <w:tblW w:w="9484" w:type="dxa"/>
        <w:tblLook w:val="0400" w:firstRow="0" w:lastRow="0" w:firstColumn="0" w:lastColumn="0" w:noHBand="0" w:noVBand="1"/>
        <w:tblPrChange w:id="0" w:author="Desconocido" w:date="1969-12-31T21:00:00Z">
          <w:tblPr>
            <w:tabOrder w:val="0"/>
            <w:jc w:val="left"/>
            <w:tblInd w:w="0" w:type="dxa"/>
            <w:tblW w:w="0" w:type="dxa"/>
          </w:tblPr>
        </w:tblPrChange>
      </w:tblPr>
      <w:tblGrid>
        <w:gridCol w:w="1413"/>
        <w:gridCol w:w="1701"/>
        <w:gridCol w:w="2078"/>
        <w:gridCol w:w="2053"/>
        <w:gridCol w:w="2239"/>
        <w:tblGridChange w:id="1" w:author="Desconocido" w:date="1969-12-31T21:00:00Z">
          <w:tblGrid>
            <w:gridCol w:w="1413"/>
            <w:gridCol w:w="1701"/>
            <w:gridCol w:w="1943"/>
            <w:gridCol w:w="41"/>
            <w:gridCol w:w="1697"/>
            <w:gridCol w:w="15"/>
            <w:gridCol w:w="1684"/>
          </w:tblGrid>
        </w:tblGridChange>
      </w:tblGrid>
      <w:tr>
        <w:trPr>
          <w:tblHeader w:val="0"/>
          <w:cantSplit w:val="0"/>
          <w:trHeight w:val="0" w:hRule="auto"/>
          <w:trPrChange w:id="2" w:author="Descono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4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0298638" protected="0"/>
            <w:tcPrChange w:id="3" w:author="Desconocido" w:date="1969-12-31T21:00:00Z">
              <w:tcPr>
                <w:tcW w:w="1413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0298638" protected="0"/>
              </w:tcPr>
            </w:tcPrChange>
          </w:tcPr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LUNES 18/03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0298638" protected="0"/>
            <w:tcPrChange w:id="4" w:author="Desconocido" w:date="1969-12-31T21:00:00Z">
              <w:tcPr>
                <w:tcW w:w="1701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0298638" protected="0"/>
              </w:tcPr>
            </w:tcPrChange>
          </w:tcPr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MARTES 19/03</w:t>
            </w:r>
          </w:p>
        </w:tc>
        <w:tc>
          <w:tcPr>
            <w:tcW w:w="207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0298638" protected="0"/>
            <w:tcPrChange w:id="5" w:author="Desconocido" w:date="1969-12-31T21:00:00Z">
              <w:tcPr>
                <w:tcW w:w="1943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0298638" protected="0"/>
              </w:tcPr>
            </w:tcPrChange>
          </w:tcPr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MIERCOLES 20/03</w:t>
            </w:r>
          </w:p>
        </w:tc>
        <w:tc>
          <w:tcPr>
            <w:tcW w:w="20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0298638" protected="0"/>
            <w:tcPrChange w:id="6" w:author="Desconocido" w:date="1969-12-31T21:00:00Z">
              <w:tcPr>
                <w:tcW w:w="1753" w:type="dxa"/>
                <w:gridSpan w:val="3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0298638" protected="0"/>
              </w:tcPr>
            </w:tcPrChange>
          </w:tcPr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JUEVES 21/03</w:t>
            </w:r>
          </w:p>
        </w:tc>
        <w:tc>
          <w:tcPr>
            <w:tcW w:w="22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0298638" protected="0"/>
            <w:tcPrChange w:id="7" w:author="Desconocido" w:date="1969-12-31T21:00:00Z">
              <w:tcPr>
                <w:tcW w:w="1684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0298638" protected="0"/>
              </w:tcPr>
            </w:tcPrChange>
          </w:tcPr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VIERNES 22/03</w:t>
            </w:r>
          </w:p>
        </w:tc>
      </w:tr>
      <w:tr>
        <w:trPr>
          <w:tblHeader w:val="0"/>
          <w:cantSplit w:val="0"/>
          <w:trHeight w:val="220" w:hRule="atLeast"/>
          <w:trPrChange w:id="8" w:author="Descono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4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0298638" protected="0"/>
            <w:tcPrChange w:id="9" w:author="Desconocido" w:date="1969-12-31T21:00:00Z">
              <w:tcPr>
                <w:tcW w:w="1413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0298638" protected="0"/>
              </w:tcPr>
            </w:tcPrChange>
          </w:tcPr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Profesora Isabel  Aspiroz</w:t>
            </w:r>
          </w:p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Introducción  a los saberes disciplinares</w:t>
            </w:r>
          </w:p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</w:r>
          </w:p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hyperlink r:id="rId9" w:history="1">
              <w:r>
                <w:rPr>
                  <w:rFonts w:ascii="Calibri" w:hAnsi="Calibri" w:eastAsia="Calibri" w:cs="Calibri"/>
                  <w:b/>
                  <w:color w:val="1155cc"/>
                  <w:u w:color="auto" w:val="single"/>
                </w:rPr>
                <w:t>https://drive.google.com/file/d/109KYvUMmiZU8R5uwHyx1_Zy3eSzr80oz/view?usp=drivesdk</w:t>
              </w:r>
            </w:hyperlink>
          </w:p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</w:r>
          </w:p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0298638" protected="0"/>
            <w:tcPrChange w:id="10" w:author="Desconocido" w:date="1969-12-31T21:00:00Z">
              <w:tcPr>
                <w:tcW w:w="1701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0298638" protected="0"/>
              </w:tcPr>
            </w:tcPrChange>
          </w:tcPr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Profesora Analía Cardozo</w:t>
            </w:r>
          </w:p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</w:r>
          </w:p>
          <w:p>
            <w:pPr>
              <w:spacing w:line="240" w:lineRule="auto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“Nuevas orientaciones para la enseñanza de las ciencias y sus transversalidades desde el campo de la Química en relación con el profesorado de Biología”.</w:t>
            </w:r>
          </w:p>
        </w:tc>
        <w:tc>
          <w:tcPr>
            <w:tcW w:w="207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0298638" protected="0"/>
            <w:tcPrChange w:id="11" w:author="Desconocido" w:date="1969-12-31T21:00:00Z">
              <w:tcPr>
                <w:tcW w:w="1984" w:type="dxa"/>
                <w:gridSpan w:val="2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0298638" protected="0"/>
              </w:tcPr>
            </w:tcPrChange>
          </w:tcPr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Profesora Marta Lacorte</w:t>
            </w:r>
          </w:p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</w:r>
          </w:p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Introducción al estudio de la matemática en las ciencias naturales y el nivel superior.  Se acopla con la profesora Deborah Mendez Donadel  y</w:t>
            </w:r>
          </w:p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La capacitación en reanimación cardio pulmonar</w:t>
            </w:r>
          </w:p>
        </w:tc>
        <w:tc>
          <w:tcPr>
            <w:tcW w:w="2053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0298638" protected="0"/>
            <w:tcPrChange w:id="12" w:author="Desconocido" w:date="1969-12-31T21:00:00Z">
              <w:tcPr>
                <w:tcW w:w="1697" w:type="dxa"/>
                <w:vMerge w:val="restart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0298638" protected="0"/>
              </w:tcPr>
            </w:tcPrChange>
          </w:tcPr>
          <w:p>
            <w:pPr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Profesora Tatiana Corvalán- Profesor Gonzalez Esteban</w:t>
            </w:r>
          </w:p>
          <w:p>
            <w:pPr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</w:r>
          </w:p>
          <w:p>
            <w:pPr>
              <w:ind w:left="0" w:firstLine="0"/>
              <w:spacing w:line="259" w:lineRule="auto"/>
              <w:jc w:val="both"/>
              <w:rPr>
                <w:rFonts w:ascii="Calibri" w:hAnsi="Calibri" w:eastAsia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i/>
                <w:sz w:val="24"/>
                <w:szCs w:val="24"/>
              </w:rPr>
              <w:t>“Prácticas de lectura y escritura en el nivel superior: ¿de qué se trata?”</w:t>
            </w:r>
          </w:p>
          <w:p>
            <w:pPr>
              <w:spacing w:before="240" w:after="240" w:line="259" w:lineRule="auto"/>
              <w:jc w:val="both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A través de este taller apuntaremos a transparentar las dinámicas académicas del nivel superior y las lógicas propias de abordaje, producción y comunicación de conocimiento académico. En este sentido, concebimos a esta instancia como una introducción a las prácticas de lectura y escritura del nivel (sus características y funciones) y su relación con modos de pensar y conocer.</w:t>
            </w:r>
            <w:r>
              <w:rPr>
                <w:rFonts w:ascii="Calibri" w:hAnsi="Calibri" w:eastAsia="Calibri" w:cs="Calibri"/>
                <w:b/>
              </w:rPr>
            </w:r>
          </w:p>
        </w:tc>
        <w:tc>
          <w:tcPr>
            <w:tcW w:w="22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0298638" protected="0"/>
            <w:tcPrChange w:id="13" w:author="Desconocido" w:date="1969-12-31T21:00:00Z">
              <w:tcPr>
                <w:tcW w:w="1699" w:type="dxa"/>
                <w:gridSpan w:val="2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0298638" protected="0"/>
              </w:tcPr>
            </w:tcPrChange>
          </w:tcPr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Profesora Catalina Lopez Lovera</w:t>
            </w:r>
          </w:p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</w:r>
          </w:p>
          <w:p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ESI en la formación docente inicial:</w:t>
            </w:r>
          </w:p>
          <w:p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¿Cómo erradicar los sesgos de género en el acceso a la educación y la formación científica?</w:t>
            </w:r>
          </w:p>
        </w:tc>
      </w:tr>
      <w:tr>
        <w:trPr>
          <w:tblHeader w:val="0"/>
          <w:cantSplit w:val="0"/>
          <w:trHeight w:val="6313" w:hRule="atLeast"/>
          <w:trPrChange w:id="14" w:author="Descono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4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0298638" protected="0"/>
            <w:tcPrChange w:id="15" w:author="Desconocido" w:date="1969-12-31T21:00:00Z">
              <w:tcPr>
                <w:tcW w:w="1413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0298638" protected="0"/>
              </w:tcPr>
            </w:tcPrChange>
          </w:tcPr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Profesora Isabel Aspiroz</w:t>
            </w:r>
          </w:p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</w:r>
          </w:p>
          <w:p>
            <w:pPr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Introducción  a los saberes disciplinares</w:t>
            </w:r>
          </w:p>
          <w:p>
            <w:pPr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</w:r>
          </w:p>
          <w:p>
            <w:pPr>
              <w:rPr>
                <w:rFonts w:ascii="Calibri" w:hAnsi="Calibri" w:eastAsia="Calibri" w:cs="Calibri"/>
                <w:b/>
              </w:rPr>
            </w:pPr>
            <w:hyperlink r:id="rId9" w:history="1">
              <w:r>
                <w:rPr>
                  <w:rFonts w:ascii="Calibri" w:hAnsi="Calibri" w:eastAsia="Calibri" w:cs="Calibri"/>
                  <w:b/>
                  <w:color w:val="1155cc"/>
                  <w:u w:color="auto" w:val="single"/>
                </w:rPr>
                <w:t>https://drive.google.com/file/d/109KYvUMmiZU8R5uwHyx1_Zy3eSzr80oz/view?usp=drivesdk</w:t>
              </w:r>
            </w:hyperlink>
          </w:p>
          <w:p>
            <w:pPr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</w:r>
          </w:p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0298638" protected="0"/>
            <w:tcPrChange w:id="16" w:author="Desconocido" w:date="1969-12-31T21:00:00Z">
              <w:tcPr>
                <w:tcW w:w="1701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0298638" protected="0"/>
              </w:tcPr>
            </w:tcPrChange>
          </w:tcPr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 xml:space="preserve">Profesora Ferreyra Mayra </w:t>
            </w:r>
          </w:p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</w:r>
          </w:p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Primeros auxilios y prevención en las instituciones educativas</w:t>
            </w:r>
          </w:p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</w:r>
          </w:p>
          <w:p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- Cuestiones legales y responsabilidad educativa</w:t>
            </w:r>
          </w:p>
          <w:p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- Botiquín escolar</w:t>
            </w:r>
          </w:p>
          <w:p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- Quemaduras, hemorragias, trauma.</w:t>
            </w:r>
          </w:p>
          <w:p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</w:p>
          <w:p>
            <w:pPr>
              <w:spacing w:line="240" w:lineRule="auto"/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</w:rPr>
              <w:t xml:space="preserve">TRAER ROPA COMODA. </w:t>
            </w:r>
          </w:p>
        </w:tc>
        <w:tc>
          <w:tcPr>
            <w:tcW w:w="207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0298638" protected="0"/>
            <w:tcPrChange w:id="17" w:author="Desconocido" w:date="1969-12-31T21:00:00Z">
              <w:tcPr>
                <w:tcW w:w="1984" w:type="dxa"/>
                <w:gridSpan w:val="2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0298638" protected="0"/>
              </w:tcPr>
            </w:tcPrChange>
          </w:tcPr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Profesora Deborah Mendez Donadel Ferreyra</w:t>
            </w:r>
          </w:p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</w:r>
          </w:p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Reanimación Cardio Pulmonar (RCP)</w:t>
            </w:r>
          </w:p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</w:r>
          </w:p>
          <w:p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</w:rPr>
              <w:t>-</w:t>
            </w:r>
            <w:r>
              <w:rPr>
                <w:rFonts w:ascii="Calibri" w:hAnsi="Calibri" w:eastAsia="Calibri" w:cs="Calibri"/>
              </w:rPr>
              <w:t>Consentimiento.</w:t>
            </w:r>
          </w:p>
          <w:p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-Maniobra de desobstrucción de vía aérea.</w:t>
            </w:r>
          </w:p>
          <w:p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-RCP</w:t>
            </w:r>
          </w:p>
          <w:p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-Armado de torsos caseros para practicar las maniobras.</w:t>
            </w:r>
          </w:p>
          <w:p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</w:p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</w:r>
          </w:p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-Traer ropa cómoda.</w:t>
            </w:r>
          </w:p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-Botellas vacías de 2.25L.</w:t>
            </w:r>
          </w:p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-Cinta ancha.</w:t>
            </w:r>
          </w:p>
        </w:tc>
        <w:tc>
          <w:tcPr>
            <w:tcW w:w="205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0298638" protected="0"/>
            <w:tcPrChange w:id="18" w:author="Desconocido" w:date="1969-12-31T21:00:00Z">
              <w:tcPr>
                <w:tcW w:w="1697" w:type="dxa"/>
                <w:vMerge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0298638" protected="0"/>
              </w:tcPr>
            </w:tcPrChange>
          </w:tcPr>
          <w:p>
            <w:pPr>
              <w:spacing w:line="240" w:lineRule="auto"/>
            </w:pPr>
          </w:p>
        </w:tc>
        <w:tc>
          <w:tcPr>
            <w:tcW w:w="22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0298638" protected="0"/>
            <w:tcPrChange w:id="19" w:author="Desconocido" w:date="1969-12-31T21:00:00Z">
              <w:tcPr>
                <w:tcW w:w="1699" w:type="dxa"/>
                <w:gridSpan w:val="2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10298638" protected="0"/>
              </w:tcPr>
            </w:tcPrChange>
          </w:tcPr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Laura Godoy</w:t>
            </w:r>
          </w:p>
          <w:p>
            <w:pPr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ab/>
              <w:t xml:space="preserve"> </w:t>
              <w:tab/>
            </w:r>
          </w:p>
          <w:p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Cultura digital y conocimiento. Primeras preguntas para una reflexión pedagógica.</w:t>
            </w:r>
          </w:p>
          <w:p>
            <w:pPr>
              <w:spacing w:before="24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br w:type="textWrapping"/>
              <w:t xml:space="preserve">Materiales: </w:t>
            </w:r>
            <w:hyperlink r:id="rId10" w:history="1">
              <w:r>
                <w:rPr>
                  <w:rFonts w:ascii="Calibri" w:hAnsi="Calibri" w:eastAsia="Calibri" w:cs="Calibri"/>
                  <w:color w:val="1155cc"/>
                  <w:u w:color="auto" w:val="single"/>
                </w:rPr>
                <w:t xml:space="preserve">Han, B. (2013) “De la acción al tecleo” en </w:t>
              </w:r>
              <w:r>
                <w:rPr>
                  <w:rFonts w:ascii="Calibri" w:hAnsi="Calibri" w:eastAsia="Calibri" w:cs="Calibri"/>
                  <w:i/>
                  <w:color w:val="1155cc"/>
                  <w:u w:color="auto" w:val="single"/>
                </w:rPr>
                <w:t>El enjambre</w:t>
              </w:r>
              <w:r>
                <w:rPr>
                  <w:rFonts w:ascii="Calibri" w:hAnsi="Calibri" w:eastAsia="Calibri" w:cs="Calibri"/>
                  <w:color w:val="1155cc"/>
                  <w:u w:color="auto" w:val="single"/>
                </w:rPr>
                <w:t>. Herder</w:t>
              </w:r>
            </w:hyperlink>
          </w:p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</w:r>
          </w:p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</w:r>
          </w:p>
          <w:p>
            <w:pPr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</w:r>
          </w:p>
        </w:tc>
      </w:tr>
    </w:tbl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4" w:w="11909"/>
      <w:pgMar w:left="1440" w:top="1440" w:right="1440" w:bottom="1440" w:header="0" w:footer="0"/>
      <w:paperSrc w:first="15" w:other="15" a="0" b="0"/>
      <w:pgNumType w:fmt="decimal" w:start="1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ourier New">
    <w:panose1 w:val="02070309020205020404"/>
    <w:charset w:val="00"/>
    <w:family w:val="modern"/>
    <w:pitch w:val="default"/>
  </w:font>
  <w:font w:name="Noto Sans Symbols"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ada 1"/>
    <w:lvl w:ilvl="0">
      <w:numFmt w:val="bullet"/>
      <w:suff w:val="tab"/>
      <w:lvlText w:val="✔"/>
      <w:lvlJc w:val="left"/>
      <w:pPr>
        <w:ind w:left="360" w:hanging="0"/>
      </w:pPr>
      <w:rPr>
        <w:rFonts w:ascii="Noto Sans Symbols" w:hAnsi="Noto Sans Symbols" w:eastAsia="Noto Sans Symbols" w:cs="Noto Sans Symbols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eastAsia="Courier New" w:cs="Courier New"/>
      </w:rPr>
    </w:lvl>
    <w:lvl w:ilvl="2">
      <w:numFmt w:val="bullet"/>
      <w:suff w:val="tab"/>
      <w:lvlText w:val="▪"/>
      <w:lvlJc w:val="left"/>
      <w:pPr>
        <w:ind w:left="1800" w:hanging="0"/>
      </w:pPr>
      <w:rPr>
        <w:rFonts w:ascii="Noto Sans Symbols" w:hAnsi="Noto Sans Symbols" w:eastAsia="Noto Sans Symbols" w:cs="Noto Sans Symbols"/>
      </w:rPr>
    </w:lvl>
    <w:lvl w:ilvl="3">
      <w:numFmt w:val="bullet"/>
      <w:suff w:val="tab"/>
      <w:lvlText w:val="●"/>
      <w:lvlJc w:val="left"/>
      <w:pPr>
        <w:ind w:left="2520" w:hanging="0"/>
      </w:pPr>
      <w:rPr>
        <w:rFonts w:ascii="Noto Sans Symbols" w:hAnsi="Noto Sans Symbols" w:eastAsia="Noto Sans Symbols" w:cs="Noto Sans Symbols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eastAsia="Courier New" w:cs="Courier New"/>
      </w:rPr>
    </w:lvl>
    <w:lvl w:ilvl="5">
      <w:numFmt w:val="bullet"/>
      <w:suff w:val="tab"/>
      <w:lvlText w:val="▪"/>
      <w:lvlJc w:val="left"/>
      <w:pPr>
        <w:ind w:left="3960" w:hanging="0"/>
      </w:pPr>
      <w:rPr>
        <w:rFonts w:ascii="Noto Sans Symbols" w:hAnsi="Noto Sans Symbols" w:eastAsia="Noto Sans Symbols" w:cs="Noto Sans Symbols"/>
      </w:rPr>
    </w:lvl>
    <w:lvl w:ilvl="6">
      <w:numFmt w:val="bullet"/>
      <w:suff w:val="tab"/>
      <w:lvlText w:val="●"/>
      <w:lvlJc w:val="left"/>
      <w:pPr>
        <w:ind w:left="4680" w:hanging="0"/>
      </w:pPr>
      <w:rPr>
        <w:rFonts w:ascii="Noto Sans Symbols" w:hAnsi="Noto Sans Symbols" w:eastAsia="Noto Sans Symbols" w:cs="Noto Sans Symbols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eastAsia="Courier New" w:cs="Courier New"/>
      </w:rPr>
    </w:lvl>
    <w:lvl w:ilvl="8">
      <w:numFmt w:val="bullet"/>
      <w:suff w:val="tab"/>
      <w:lvlText w:val="▪"/>
      <w:lvlJc w:val="left"/>
      <w:pPr>
        <w:ind w:left="6120" w:hanging="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a" w:pos="below" w:numFmt="decimal"/>
    <w:caption w:name="Figura" w:pos="below" w:numFmt="decimal"/>
    <w:caption w:name="Imagen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5"/>
      <w:tmLastPosIdx w:val="1"/>
    </w:tmLastPosCaret>
    <w:tmLastPosAnchor>
      <w:tmLastPosPgfIdx w:val="0"/>
      <w:tmLastPosIdx w:val="0"/>
    </w:tmLastPosAnchor>
    <w:tmLastPosTblRect w:left="0" w:top="0" w:right="0" w:bottom="0"/>
  </w:tmLastPos>
  <w:tmAppRevision w:date="1710298638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 w:eastAsia="Arial" w:cs="Arial"/>
        <w:sz w:val="22"/>
        <w:szCs w:val="22"/>
        <w:lang w:val="es-ES_tradnl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00" w:after="120"/>
      <w:keepNext/>
      <w:keepLines/>
    </w:pPr>
    <w:rPr>
      <w:sz w:val="40"/>
      <w:szCs w:val="40"/>
    </w:rPr>
  </w:style>
  <w:style w:type="paragraph" w:styleId="para2">
    <w:name w:val="heading 2"/>
    <w:qFormat/>
    <w:basedOn w:val="para0"/>
    <w:next w:val="para0"/>
    <w:pPr>
      <w:spacing w:before="360" w:after="120"/>
      <w:keepNext/>
      <w:keepLines/>
    </w:pPr>
    <w:rPr>
      <w:sz w:val="32"/>
      <w:szCs w:val="32"/>
    </w:rPr>
  </w:style>
  <w:style w:type="paragraph" w:styleId="para3">
    <w:name w:val="heading 3"/>
    <w:qFormat/>
    <w:basedOn w:val="para0"/>
    <w:next w:val="para0"/>
    <w:pPr>
      <w:spacing w:before="320" w:after="80"/>
      <w:keepNext/>
      <w:keepLines/>
    </w:pPr>
    <w:rPr>
      <w:color w:val="434343"/>
      <w:sz w:val="28"/>
      <w:szCs w:val="28"/>
    </w:rPr>
  </w:style>
  <w:style w:type="paragraph" w:styleId="para4">
    <w:name w:val="heading 4"/>
    <w:qFormat/>
    <w:basedOn w:val="para0"/>
    <w:next w:val="para0"/>
    <w:pPr>
      <w:spacing w:before="280" w:after="80"/>
      <w:keepNext/>
      <w:keepLines/>
    </w:pPr>
    <w:rPr>
      <w:color w:val="666666"/>
      <w:sz w:val="24"/>
      <w:szCs w:val="24"/>
    </w:rPr>
  </w:style>
  <w:style w:type="paragraph" w:styleId="para5">
    <w:name w:val="heading 5"/>
    <w:qFormat/>
    <w:basedOn w:val="para0"/>
    <w:next w:val="para0"/>
    <w:pPr>
      <w:spacing w:before="240" w:after="80"/>
      <w:keepNext/>
      <w:keepLines/>
    </w:pPr>
    <w:rPr>
      <w:color w:val="666666"/>
    </w:rPr>
  </w:style>
  <w:style w:type="paragraph" w:styleId="para6">
    <w:name w:val="heading 6"/>
    <w:qFormat/>
    <w:basedOn w:val="para0"/>
    <w:next w:val="para0"/>
    <w:pPr>
      <w:spacing w:before="240" w:after="80"/>
      <w:keepNext/>
      <w:keepLines/>
    </w:pPr>
    <w:rPr>
      <w:i/>
      <w:color w:val="666666"/>
    </w:rPr>
  </w:style>
  <w:style w:type="paragraph" w:styleId="para7">
    <w:name w:val="Title"/>
    <w:qFormat/>
    <w:basedOn w:val="para0"/>
    <w:next w:val="para0"/>
    <w:pPr>
      <w:spacing w:after="60"/>
      <w:keepNext/>
      <w:keepLines/>
    </w:pPr>
    <w:rPr>
      <w:sz w:val="52"/>
      <w:szCs w:val="52"/>
    </w:rPr>
  </w:style>
  <w:style w:type="paragraph" w:styleId="para8">
    <w:name w:val="Subtitle"/>
    <w:qFormat/>
    <w:basedOn w:val="para0"/>
    <w:next w:val="para0"/>
    <w:pPr>
      <w:spacing w:after="320"/>
      <w:keepNext/>
      <w:keepLines/>
    </w:pPr>
    <w:rPr>
      <w:color w:val="666666"/>
      <w:sz w:val="30"/>
      <w:szCs w:val="30"/>
    </w:rPr>
  </w:style>
  <w:style w:type="character" w:styleId="char0" w:default="1">
    <w:name w:val="Default Paragraph Font"/>
  </w:style>
  <w:style w:type="table" w:default="1" w:styleId="TableNormal">
    <w:name w:val="Tab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Arial" w:cs="Arial"/>
        <w:sz w:val="22"/>
        <w:szCs w:val="22"/>
        <w:lang w:val="es-ES_tradnl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00" w:after="120"/>
      <w:keepNext/>
      <w:keepLines/>
    </w:pPr>
    <w:rPr>
      <w:sz w:val="40"/>
      <w:szCs w:val="40"/>
    </w:rPr>
  </w:style>
  <w:style w:type="paragraph" w:styleId="para2">
    <w:name w:val="heading 2"/>
    <w:qFormat/>
    <w:basedOn w:val="para0"/>
    <w:next w:val="para0"/>
    <w:pPr>
      <w:spacing w:before="360" w:after="120"/>
      <w:keepNext/>
      <w:keepLines/>
    </w:pPr>
    <w:rPr>
      <w:sz w:val="32"/>
      <w:szCs w:val="32"/>
    </w:rPr>
  </w:style>
  <w:style w:type="paragraph" w:styleId="para3">
    <w:name w:val="heading 3"/>
    <w:qFormat/>
    <w:basedOn w:val="para0"/>
    <w:next w:val="para0"/>
    <w:pPr>
      <w:spacing w:before="320" w:after="80"/>
      <w:keepNext/>
      <w:keepLines/>
    </w:pPr>
    <w:rPr>
      <w:color w:val="434343"/>
      <w:sz w:val="28"/>
      <w:szCs w:val="28"/>
    </w:rPr>
  </w:style>
  <w:style w:type="paragraph" w:styleId="para4">
    <w:name w:val="heading 4"/>
    <w:qFormat/>
    <w:basedOn w:val="para0"/>
    <w:next w:val="para0"/>
    <w:pPr>
      <w:spacing w:before="280" w:after="80"/>
      <w:keepNext/>
      <w:keepLines/>
    </w:pPr>
    <w:rPr>
      <w:color w:val="666666"/>
      <w:sz w:val="24"/>
      <w:szCs w:val="24"/>
    </w:rPr>
  </w:style>
  <w:style w:type="paragraph" w:styleId="para5">
    <w:name w:val="heading 5"/>
    <w:qFormat/>
    <w:basedOn w:val="para0"/>
    <w:next w:val="para0"/>
    <w:pPr>
      <w:spacing w:before="240" w:after="80"/>
      <w:keepNext/>
      <w:keepLines/>
    </w:pPr>
    <w:rPr>
      <w:color w:val="666666"/>
    </w:rPr>
  </w:style>
  <w:style w:type="paragraph" w:styleId="para6">
    <w:name w:val="heading 6"/>
    <w:qFormat/>
    <w:basedOn w:val="para0"/>
    <w:next w:val="para0"/>
    <w:pPr>
      <w:spacing w:before="240" w:after="80"/>
      <w:keepNext/>
      <w:keepLines/>
    </w:pPr>
    <w:rPr>
      <w:i/>
      <w:color w:val="666666"/>
    </w:rPr>
  </w:style>
  <w:style w:type="paragraph" w:styleId="para7">
    <w:name w:val="Title"/>
    <w:qFormat/>
    <w:basedOn w:val="para0"/>
    <w:next w:val="para0"/>
    <w:pPr>
      <w:spacing w:after="60"/>
      <w:keepNext/>
      <w:keepLines/>
    </w:pPr>
    <w:rPr>
      <w:sz w:val="52"/>
      <w:szCs w:val="52"/>
    </w:rPr>
  </w:style>
  <w:style w:type="paragraph" w:styleId="para8">
    <w:name w:val="Subtitle"/>
    <w:qFormat/>
    <w:basedOn w:val="para0"/>
    <w:next w:val="para0"/>
    <w:pPr>
      <w:spacing w:after="320"/>
      <w:keepNext/>
      <w:keepLines/>
    </w:pPr>
    <w:rPr>
      <w:color w:val="666666"/>
      <w:sz w:val="30"/>
      <w:szCs w:val="30"/>
    </w:rPr>
  </w:style>
  <w:style w:type="character" w:styleId="char0" w:default="1">
    <w:name w:val="Default Paragraph Font"/>
  </w:style>
  <w:style w:type="table" w:default="1" w:styleId="TableNormal">
    <w:name w:val="Tab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hyperlink" Target="https://drive.google.com/file/d/109KYvUMmiZU8R5uwHyx1_Zy3eSzr80oz/view?usp=drivesdk" TargetMode="External"/><Relationship Id="rId10" Type="http://schemas.openxmlformats.org/officeDocument/2006/relationships/hyperlink" Target="https://drive.google.com/file/d/1gP0XtJ25F0RKl3sPZ1U-M1oYLNX-ZaAW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2024-03-13T02:48:15Z</dcterms:created>
  <dcterms:modified xsi:type="dcterms:W3CDTF">2024-03-13T02:57:18Z</dcterms:modified>
</cp:coreProperties>
</file>